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C2" w:rsidRDefault="00B32775" w:rsidP="003C7FC2">
      <w:pPr>
        <w:pStyle w:val="Heading1"/>
        <w:tabs>
          <w:tab w:val="right" w:pos="14459"/>
        </w:tabs>
      </w:pPr>
      <w:bookmarkStart w:id="0" w:name="_GoBack"/>
      <w:bookmarkEnd w:id="0"/>
      <w:r>
        <w:t>Village: Electrical audit</w:t>
      </w:r>
      <w:r w:rsidR="003C7FC2">
        <w:tab/>
      </w:r>
      <w:r w:rsidR="003C7FC2">
        <w:rPr>
          <w:caps w:val="0"/>
        </w:rPr>
        <w:t>Site</w:t>
      </w:r>
      <w:r w:rsidR="003C7FC2">
        <w:t xml:space="preserve">: </w:t>
      </w:r>
      <w:r w:rsidR="003417E4">
        <w:t>_</w:t>
      </w:r>
      <w:r w:rsidR="003C7FC2">
        <w:t>__</w:t>
      </w:r>
      <w:r w:rsidR="003417E4">
        <w:t>_</w:t>
      </w:r>
      <w:r w:rsidR="00631338">
        <w:t>___</w:t>
      </w:r>
      <w:r w:rsidR="003C7FC2">
        <w:t>_______________</w:t>
      </w:r>
      <w:r w:rsidR="00631338">
        <w:t>______</w:t>
      </w:r>
      <w:r w:rsidR="003C7FC2">
        <w:t>____</w:t>
      </w:r>
      <w:r w:rsidR="00401BFC">
        <w:t>_</w:t>
      </w:r>
    </w:p>
    <w:p w:rsidR="00603803" w:rsidRDefault="003417E4" w:rsidP="003C7FC2">
      <w:pPr>
        <w:pStyle w:val="Heading1"/>
        <w:tabs>
          <w:tab w:val="right" w:pos="14459"/>
        </w:tabs>
        <w:jc w:val="right"/>
      </w:pPr>
      <w:r>
        <w:rPr>
          <w:caps w:val="0"/>
        </w:rPr>
        <w:t>Date</w:t>
      </w:r>
      <w:r w:rsidR="00631338">
        <w:rPr>
          <w:caps w:val="0"/>
        </w:rPr>
        <w:t xml:space="preserve"> conducted</w:t>
      </w:r>
      <w:r w:rsidR="003C7FC2">
        <w:t>:</w:t>
      </w:r>
      <w:r w:rsidR="00631338">
        <w:t>___</w:t>
      </w:r>
      <w:r>
        <w:t>__</w:t>
      </w:r>
      <w:r w:rsidR="003C7FC2">
        <w:t>____</w:t>
      </w:r>
      <w:r>
        <w:t>_</w:t>
      </w:r>
      <w:r w:rsidR="003C7FC2">
        <w:t>__</w:t>
      </w:r>
      <w:r w:rsidR="00631338">
        <w:t>______</w:t>
      </w:r>
      <w:r w:rsidR="003C7FC2">
        <w:t>_____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685"/>
      </w:tblGrid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1</w:t>
            </w:r>
            <w:r w:rsidR="00EA26DF">
              <w:tab/>
            </w:r>
            <w:r>
              <w:t>Management aspects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 xml:space="preserve">Entries made </w:t>
                  </w:r>
                  <w:r>
                    <w:t>in electrical log books are properly completed.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1.2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Entries in electrical log books are acknowledged by the signature of the registered manager or delegate. (alternate registered manager)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1.3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 xml:space="preserve">Appointed electrical supervisors verify that electrical </w:t>
                  </w:r>
                  <w:r>
                    <w:t>work at the village is supervised.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1.4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Electrical installing work is undertaken by persons holding a current electrical workers licence.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1.5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Electrical workers operate within the authority of the licence held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1.6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 xml:space="preserve">Electrical apprentices, permit </w:t>
                  </w:r>
                  <w:r>
                    <w:t>holders, and ‘B’ grade licence holders have been instructed regarding electrical work undertaken that requires supervision and are appropriately supervised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1.7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 xml:space="preserve">A written procedure has been established to safeguard persons required to excavate ground in </w:t>
                  </w:r>
                  <w:r>
                    <w:t>the vicinity of buried cables.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1.8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Emergency signage and lighting is fitted to all exits.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1.9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Portable electrical apparatus normally used in heavy operating environments is examined, tested and tagged quarterly, and the results are recorded in an ele</w:t>
                  </w:r>
                  <w:r>
                    <w:t>ctrical log book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1.10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RCD devices are tested periodically and the results are recorded in an electrical log book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1.11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Switchboards and their electrical equipment are clearly labelled.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1.12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Electrical equipment and accessories are safe to use.</w:t>
                  </w:r>
                  <w:r>
                    <w:br/>
                  </w:r>
                  <w:r>
                    <w:t>There is no damage that could impair safe operation.</w:t>
                  </w:r>
                  <w:r>
                    <w:br/>
                    <w:t>Any room, enclosure or other place used principally for the installation of electrical equipment:</w:t>
                  </w:r>
                  <w:r>
                    <w:br/>
                    <w:t>• Can be safely isolated from the electrical supply</w:t>
                  </w:r>
                  <w:r>
                    <w:br/>
                    <w:t>• Is designed to restrict access by unauthorised pers</w:t>
                  </w:r>
                  <w:r>
                    <w:t>ons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1.13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Switchboards are protected against external influences.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1.14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 xml:space="preserve">Personal portable electrical equipment and appliances owned by persons occupying accommodation units that are located on  mining tenements are inspected, tested and tagged at </w:t>
                  </w:r>
                  <w:r>
                    <w:t>intervals as  may  be necessary to ensure safety.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1.15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USB chargers, travel adaptors and power supplies are approved by a recognised certification body and display the Regulatory Compliance Mark (RCM) or an approval number on the product.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44313B" w:rsidRDefault="0044313B"/>
        </w:tc>
      </w:tr>
      <w:tr w:rsidR="00EA26DF" w:rsidRPr="00565D8C" w:rsidTr="005A5422">
        <w:trPr>
          <w:trHeight w:val="387"/>
        </w:trPr>
        <w:tc>
          <w:tcPr>
            <w:tcW w:w="5000" w:type="pct"/>
            <w:shd w:val="clear" w:color="auto" w:fill="auto"/>
          </w:tcPr>
          <w:p w:rsidR="0096683C" w:rsidRDefault="0096683C" w:rsidP="00FA6D72"/>
          <w:p w:rsidR="00EA26DF" w:rsidRPr="005A754B" w:rsidRDefault="00B32775" w:rsidP="004C3351">
            <w:pPr>
              <w:pStyle w:val="Heading1"/>
            </w:pPr>
            <w:r>
              <w:t>2</w:t>
            </w:r>
            <w:r w:rsidR="00EA26DF">
              <w:tab/>
            </w:r>
            <w:r>
              <w:t>Technical aspects</w:t>
            </w:r>
          </w:p>
        </w:tc>
      </w:tr>
      <w:tr w:rsidR="00EA26DF" w:rsidRPr="00565D8C" w:rsidTr="005A5422">
        <w:trPr>
          <w:trHeight w:val="586"/>
        </w:trPr>
        <w:tc>
          <w:tcPr>
            <w:tcW w:w="5000" w:type="pct"/>
            <w:shd w:val="clear" w:color="auto" w:fill="auto"/>
          </w:tcPr>
          <w:p w:rsidR="00001177" w:rsidRDefault="00001177" w:rsidP="004C3351"/>
          <w:tbl>
            <w:tblPr>
              <w:tblStyle w:val="TableGrid"/>
              <w:tblW w:w="5000" w:type="pct"/>
              <w:tblLayout w:type="fixed"/>
              <w:tblLook w:val="0000" w:firstRow="0" w:lastRow="0" w:firstColumn="0" w:lastColumn="0" w:noHBand="0" w:noVBand="0"/>
            </w:tblPr>
            <w:tblGrid>
              <w:gridCol w:w="1312"/>
              <w:gridCol w:w="4453"/>
              <w:gridCol w:w="1893"/>
              <w:gridCol w:w="6791"/>
            </w:tblGrid>
            <w:tr w:rsidR="00EA26DF" w:rsidRPr="00565D8C" w:rsidTr="007F750A">
              <w:trPr>
                <w:trHeight w:val="322"/>
              </w:trPr>
              <w:tc>
                <w:tcPr>
                  <w:tcW w:w="454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Point</w:t>
                  </w:r>
                </w:p>
              </w:tc>
              <w:tc>
                <w:tcPr>
                  <w:tcW w:w="1541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Standard</w:t>
                  </w:r>
                </w:p>
              </w:tc>
              <w:tc>
                <w:tcPr>
                  <w:tcW w:w="655" w:type="pct"/>
                  <w:shd w:val="clear" w:color="auto" w:fill="F2F2F2" w:themeFill="background1" w:themeFillShade="F2"/>
                </w:tcPr>
                <w:p w:rsidR="00EA26DF" w:rsidRPr="00565D8C" w:rsidRDefault="008528E4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>
                    <w:rPr>
                      <w:b/>
                      <w:color w:val="000080"/>
                    </w:rPr>
                    <w:t>Standard m</w:t>
                  </w:r>
                  <w:r w:rsidR="00EA26DF" w:rsidRPr="00565D8C">
                    <w:rPr>
                      <w:b/>
                      <w:color w:val="000080"/>
                    </w:rPr>
                    <w:t>et</w:t>
                  </w:r>
                </w:p>
              </w:tc>
              <w:tc>
                <w:tcPr>
                  <w:tcW w:w="2350" w:type="pct"/>
                  <w:shd w:val="clear" w:color="auto" w:fill="F2F2F2" w:themeFill="background1" w:themeFillShade="F2"/>
                </w:tcPr>
                <w:p w:rsidR="00EA26DF" w:rsidRPr="00565D8C" w:rsidRDefault="00EA26DF" w:rsidP="004C3351">
                  <w:pPr>
                    <w:pStyle w:val="Tablenormal0"/>
                    <w:rPr>
                      <w:b/>
                      <w:color w:val="000080"/>
                    </w:rPr>
                  </w:pPr>
                  <w:r w:rsidRPr="00565D8C">
                    <w:rPr>
                      <w:b/>
                      <w:color w:val="000080"/>
                    </w:rPr>
                    <w:t>Comments</w:t>
                  </w: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Ensure that electrical insulation and electrical enclosures provide effective protection against direct contact with live parts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2.2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 xml:space="preserve">The effectiveness of earthing systems, continuity of </w:t>
                  </w:r>
                  <w:r>
                    <w:t>earthing conductors and the adequacy of electrical insulation is routinely tested, and the results are recorded in an electrical log book.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2.3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Electrical equipment is connected, supported and fixed, in accordance with AS/NZS 3000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2.4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 xml:space="preserve">Above ground </w:t>
                  </w:r>
                  <w:r>
                    <w:t>cables are segregated from other services and electrical installations by a minimum distance of:</w:t>
                  </w:r>
                  <w:r>
                    <w:br/>
                    <w:t>• 25 mm for water/gas/electrical</w:t>
                  </w:r>
                  <w:r>
                    <w:br/>
                    <w:t>• 100 mm for heated water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2.5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Low voltage (LV) below ground wiring is segregated by a minimum distance:</w:t>
                  </w:r>
                  <w:r>
                    <w:br/>
                    <w:t>• 100 mm water/gas/</w:t>
                  </w:r>
                  <w:r>
                    <w:t>electrical</w:t>
                  </w:r>
                  <w:r>
                    <w:br/>
                    <w:t>• 300 mm for water services greater than 65DN (internal diameter)</w:t>
                  </w:r>
                  <w:r>
                    <w:br/>
                    <w:t>• 100 mm communications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2.6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Particular installation conditions for socket outlets around showers and other fixed water containers (e.g. basins and sinks) are adhered to.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2.7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Particular installation conditions for switches and other accessories around showers and other fixed water containers (e.g. basins and sinks) are adhered to.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2.8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Particular installation conditions for other electrical equipment around showers and other</w:t>
                  </w:r>
                  <w:r>
                    <w:t xml:space="preserve"> fixed water containers (e.g. basins and sinks) are adhered to.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lastRenderedPageBreak/>
                    <w:t>2.9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Particular installation conditions for the selection and installation of electrical equipment for refrigeration room(s) are adhered to.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2.10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Particular installation conditions for th</w:t>
                  </w:r>
                  <w:r>
                    <w:t>e selection and installation of electrical equipment for hose down areas are adhered to.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  <w:tr w:rsidR="00EA26DF" w:rsidRPr="00565D8C" w:rsidTr="007F750A">
              <w:trPr>
                <w:trHeight w:val="488"/>
              </w:trPr>
              <w:tc>
                <w:tcPr>
                  <w:tcW w:w="1312" w:type="dxa"/>
                </w:tcPr>
                <w:p w:rsidR="0044313B" w:rsidRDefault="003C0493">
                  <w:pPr>
                    <w:pStyle w:val="Tablenormal0"/>
                    <w:rPr>
                      <w:color w:val="000080"/>
                    </w:rPr>
                  </w:pPr>
                  <w:r>
                    <w:rPr>
                      <w:color w:val="000080"/>
                    </w:rPr>
                    <w:t>2.11</w:t>
                  </w:r>
                </w:p>
              </w:tc>
              <w:tc>
                <w:tcPr>
                  <w:tcW w:w="4453" w:type="dxa"/>
                </w:tcPr>
                <w:p w:rsidR="0044313B" w:rsidRDefault="003C0493">
                  <w:r>
                    <w:t>Emergency systems are correctly installed</w:t>
                  </w:r>
                </w:p>
              </w:tc>
              <w:tc>
                <w:tcPr>
                  <w:tcW w:w="655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  <w:tc>
                <w:tcPr>
                  <w:tcW w:w="2350" w:type="pct"/>
                </w:tcPr>
                <w:p w:rsidR="00EA26DF" w:rsidRPr="00565D8C" w:rsidRDefault="00EA26DF" w:rsidP="004C3351">
                  <w:pPr>
                    <w:pStyle w:val="Tablenormal0"/>
                  </w:pPr>
                </w:p>
              </w:tc>
            </w:tr>
          </w:tbl>
          <w:p w:rsidR="0044313B" w:rsidRDefault="0044313B"/>
        </w:tc>
      </w:tr>
    </w:tbl>
    <w:p w:rsidR="00000000" w:rsidRDefault="003C0493"/>
    <w:sectPr w:rsidR="00000000" w:rsidSect="00DE27A5">
      <w:headerReference w:type="default" r:id="rId12"/>
      <w:footerReference w:type="default" r:id="rId13"/>
      <w:pgSz w:w="16838" w:h="11899" w:orient="landscape" w:code="9"/>
      <w:pgMar w:top="1134" w:right="1245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210" w:rsidRDefault="00966210">
      <w:r>
        <w:separator/>
      </w:r>
    </w:p>
  </w:endnote>
  <w:endnote w:type="continuationSeparator" w:id="0">
    <w:p w:rsidR="00966210" w:rsidRDefault="0096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5F" w:rsidRPr="006746A8" w:rsidRDefault="00B32775" w:rsidP="006746A8">
    <w:pPr>
      <w:pStyle w:val="Footer"/>
      <w:tabs>
        <w:tab w:val="right" w:pos="14459"/>
      </w:tabs>
    </w:pPr>
    <w:r>
      <w:t>Village: Electrical audit</w:t>
    </w:r>
    <w:r w:rsidR="00A00266" w:rsidRPr="006746A8">
      <w:tab/>
    </w:r>
    <w:r w:rsidR="006746A8">
      <w:tab/>
    </w:r>
    <w:r w:rsidR="00E16084">
      <w:ptab w:relativeTo="margin" w:alignment="right" w:leader="none"/>
    </w:r>
    <w:r w:rsidR="00B64808" w:rsidRPr="006746A8">
      <w:t xml:space="preserve">Page </w:t>
    </w:r>
    <w:r w:rsidR="00B64808" w:rsidRPr="006746A8">
      <w:fldChar w:fldCharType="begin"/>
    </w:r>
    <w:r w:rsidR="00B64808" w:rsidRPr="006746A8">
      <w:instrText xml:space="preserve"> PAGE  \* Arabic  \* MERGEFORMAT </w:instrText>
    </w:r>
    <w:r w:rsidR="00B64808" w:rsidRPr="006746A8">
      <w:fldChar w:fldCharType="separate"/>
    </w:r>
    <w:r w:rsidR="003C0493">
      <w:rPr>
        <w:noProof/>
      </w:rPr>
      <w:t>2</w:t>
    </w:r>
    <w:r w:rsidR="00B64808" w:rsidRPr="006746A8">
      <w:fldChar w:fldCharType="end"/>
    </w:r>
    <w:r w:rsidR="00B64808" w:rsidRPr="006746A8">
      <w:t xml:space="preserve"> of </w:t>
    </w:r>
    <w:r w:rsidR="003C0493">
      <w:fldChar w:fldCharType="begin"/>
    </w:r>
    <w:r w:rsidR="003C0493">
      <w:instrText xml:space="preserve"> NUMPAGES  \* Arabic  \* MERGEFORMAT </w:instrText>
    </w:r>
    <w:r w:rsidR="003C0493">
      <w:fldChar w:fldCharType="separate"/>
    </w:r>
    <w:r w:rsidR="003C0493">
      <w:rPr>
        <w:noProof/>
      </w:rPr>
      <w:t>4</w:t>
    </w:r>
    <w:r w:rsidR="003C049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210" w:rsidRDefault="00966210">
      <w:r>
        <w:separator/>
      </w:r>
    </w:p>
  </w:footnote>
  <w:footnote w:type="continuationSeparator" w:id="0">
    <w:p w:rsidR="00966210" w:rsidRDefault="009662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D5F" w:rsidRPr="0021185B" w:rsidRDefault="0021185B" w:rsidP="0021185B">
    <w:pPr>
      <w:pStyle w:val="Header"/>
      <w:tabs>
        <w:tab w:val="clear" w:pos="8640"/>
        <w:tab w:val="right" w:pos="14175"/>
      </w:tabs>
    </w:pPr>
    <w:r w:rsidRPr="00B32775">
      <w:rPr>
        <w:sz w:val="16"/>
        <w:szCs w:val="16"/>
      </w:rPr>
      <w:t>Department of Mines</w:t>
    </w:r>
    <w:r w:rsidR="005120A6" w:rsidRPr="00B32775">
      <w:rPr>
        <w:sz w:val="16"/>
        <w:szCs w:val="16"/>
      </w:rPr>
      <w:t>, Industry Regulation and Safety</w:t>
    </w:r>
    <w:r w:rsidRPr="00B32775">
      <w:rPr>
        <w:sz w:val="16"/>
        <w:szCs w:val="16"/>
      </w:rPr>
      <w:tab/>
    </w:r>
    <w:r w:rsidRPr="00B32775">
      <w:rPr>
        <w:sz w:val="16"/>
        <w:szCs w:val="16"/>
      </w:rPr>
      <w:tab/>
      <w:t>Resources Safety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54680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C78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E895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3EB5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0AE2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EB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148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5053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8CB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F66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971EC"/>
    <w:multiLevelType w:val="hybridMultilevel"/>
    <w:tmpl w:val="807485EA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1">
    <w:nsid w:val="07E80924"/>
    <w:multiLevelType w:val="hybridMultilevel"/>
    <w:tmpl w:val="7BF03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4417A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56F75F6"/>
    <w:multiLevelType w:val="hybridMultilevel"/>
    <w:tmpl w:val="5FDCFDCE"/>
    <w:lvl w:ilvl="0" w:tplc="674E9562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>
    <w:nsid w:val="18955201"/>
    <w:multiLevelType w:val="hybridMultilevel"/>
    <w:tmpl w:val="43EC4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F46268"/>
    <w:multiLevelType w:val="multilevel"/>
    <w:tmpl w:val="D8C219C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2932645"/>
    <w:multiLevelType w:val="hybridMultilevel"/>
    <w:tmpl w:val="D05E5D7E"/>
    <w:lvl w:ilvl="0" w:tplc="D674C20C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7">
    <w:nsid w:val="2763391B"/>
    <w:multiLevelType w:val="hybridMultilevel"/>
    <w:tmpl w:val="FD740BDE"/>
    <w:lvl w:ilvl="0" w:tplc="0C090001">
      <w:start w:val="1"/>
      <w:numFmt w:val="bullet"/>
      <w:lvlText w:val=""/>
      <w:lvlJc w:val="left"/>
      <w:pPr>
        <w:tabs>
          <w:tab w:val="num" w:pos="411"/>
        </w:tabs>
        <w:ind w:left="4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8">
    <w:nsid w:val="38AD7456"/>
    <w:multiLevelType w:val="hybridMultilevel"/>
    <w:tmpl w:val="999441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68430E"/>
    <w:multiLevelType w:val="hybridMultilevel"/>
    <w:tmpl w:val="795090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651072"/>
    <w:multiLevelType w:val="hybridMultilevel"/>
    <w:tmpl w:val="6A70E1F8"/>
    <w:lvl w:ilvl="0" w:tplc="E0E078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4EC1F67"/>
    <w:multiLevelType w:val="hybridMultilevel"/>
    <w:tmpl w:val="C340EF94"/>
    <w:lvl w:ilvl="0" w:tplc="E0E07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305808"/>
    <w:multiLevelType w:val="hybridMultilevel"/>
    <w:tmpl w:val="EB54A0B6"/>
    <w:lvl w:ilvl="0" w:tplc="2FD67C5A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3">
    <w:nsid w:val="55990E2A"/>
    <w:multiLevelType w:val="hybridMultilevel"/>
    <w:tmpl w:val="48A8A276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4">
    <w:nsid w:val="57995E66"/>
    <w:multiLevelType w:val="multilevel"/>
    <w:tmpl w:val="EB54A0B6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5">
    <w:nsid w:val="5C7248C5"/>
    <w:multiLevelType w:val="hybridMultilevel"/>
    <w:tmpl w:val="C6AAE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1313C5"/>
    <w:multiLevelType w:val="multilevel"/>
    <w:tmpl w:val="6A466E66"/>
    <w:lvl w:ilvl="0">
      <w:start w:val="1"/>
      <w:numFmt w:val="bullet"/>
      <w:lvlText w:val=""/>
      <w:lvlJc w:val="left"/>
      <w:pPr>
        <w:tabs>
          <w:tab w:val="num" w:pos="618"/>
        </w:tabs>
        <w:ind w:left="618" w:hanging="56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7">
    <w:nsid w:val="641B28F5"/>
    <w:multiLevelType w:val="hybridMultilevel"/>
    <w:tmpl w:val="EF7E7F06"/>
    <w:lvl w:ilvl="0" w:tplc="C2049C54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8">
    <w:nsid w:val="648C2D8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99A7CD1"/>
    <w:multiLevelType w:val="multilevel"/>
    <w:tmpl w:val="EB54A0B6"/>
    <w:lvl w:ilvl="0">
      <w:start w:val="1"/>
      <w:numFmt w:val="bullet"/>
      <w:lvlText w:val=""/>
      <w:lvlJc w:val="left"/>
      <w:pPr>
        <w:tabs>
          <w:tab w:val="num" w:pos="1185"/>
        </w:tabs>
        <w:ind w:left="1185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0">
    <w:nsid w:val="74122BAB"/>
    <w:multiLevelType w:val="hybridMultilevel"/>
    <w:tmpl w:val="DEEED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23"/>
  </w:num>
  <w:num w:numId="4">
    <w:abstractNumId w:val="10"/>
  </w:num>
  <w:num w:numId="5">
    <w:abstractNumId w:val="20"/>
  </w:num>
  <w:num w:numId="6">
    <w:abstractNumId w:val="14"/>
  </w:num>
  <w:num w:numId="7">
    <w:abstractNumId w:val="18"/>
  </w:num>
  <w:num w:numId="8">
    <w:abstractNumId w:val="28"/>
  </w:num>
  <w:num w:numId="9">
    <w:abstractNumId w:val="22"/>
  </w:num>
  <w:num w:numId="10">
    <w:abstractNumId w:val="24"/>
  </w:num>
  <w:num w:numId="11">
    <w:abstractNumId w:val="29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3"/>
  </w:num>
  <w:num w:numId="24">
    <w:abstractNumId w:val="26"/>
  </w:num>
  <w:num w:numId="25">
    <w:abstractNumId w:val="17"/>
  </w:num>
  <w:num w:numId="26">
    <w:abstractNumId w:val="19"/>
  </w:num>
  <w:num w:numId="27">
    <w:abstractNumId w:val="12"/>
  </w:num>
  <w:num w:numId="28">
    <w:abstractNumId w:val="25"/>
  </w:num>
  <w:num w:numId="29">
    <w:abstractNumId w:val="11"/>
  </w:num>
  <w:num w:numId="30">
    <w:abstractNumId w:val="3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80"/>
    <w:rsid w:val="00001177"/>
    <w:rsid w:val="00002040"/>
    <w:rsid w:val="000071EC"/>
    <w:rsid w:val="00012D50"/>
    <w:rsid w:val="00013EE9"/>
    <w:rsid w:val="00014CF9"/>
    <w:rsid w:val="00025E01"/>
    <w:rsid w:val="000305A3"/>
    <w:rsid w:val="00051E1B"/>
    <w:rsid w:val="0005553E"/>
    <w:rsid w:val="000557A6"/>
    <w:rsid w:val="00057315"/>
    <w:rsid w:val="00064D6E"/>
    <w:rsid w:val="000746B0"/>
    <w:rsid w:val="00077E5F"/>
    <w:rsid w:val="0008408A"/>
    <w:rsid w:val="00085ADB"/>
    <w:rsid w:val="000A76F7"/>
    <w:rsid w:val="000B0C80"/>
    <w:rsid w:val="000B47D1"/>
    <w:rsid w:val="000B51E4"/>
    <w:rsid w:val="000E2F7A"/>
    <w:rsid w:val="000E45A6"/>
    <w:rsid w:val="000F3E5F"/>
    <w:rsid w:val="001019F6"/>
    <w:rsid w:val="0010302D"/>
    <w:rsid w:val="00105AA0"/>
    <w:rsid w:val="00120806"/>
    <w:rsid w:val="00130CE7"/>
    <w:rsid w:val="001326E5"/>
    <w:rsid w:val="00137BDB"/>
    <w:rsid w:val="00137DFE"/>
    <w:rsid w:val="0015017F"/>
    <w:rsid w:val="00163622"/>
    <w:rsid w:val="00176B61"/>
    <w:rsid w:val="001824CF"/>
    <w:rsid w:val="001918A9"/>
    <w:rsid w:val="00194309"/>
    <w:rsid w:val="001A3CEC"/>
    <w:rsid w:val="001A5DFF"/>
    <w:rsid w:val="001C238B"/>
    <w:rsid w:val="001C39A7"/>
    <w:rsid w:val="001D247B"/>
    <w:rsid w:val="001E03B1"/>
    <w:rsid w:val="001E5E2B"/>
    <w:rsid w:val="001F42C2"/>
    <w:rsid w:val="001F7594"/>
    <w:rsid w:val="00201DE9"/>
    <w:rsid w:val="00203A12"/>
    <w:rsid w:val="0021185B"/>
    <w:rsid w:val="002139E8"/>
    <w:rsid w:val="00215686"/>
    <w:rsid w:val="00216D1B"/>
    <w:rsid w:val="00220B89"/>
    <w:rsid w:val="00223DEB"/>
    <w:rsid w:val="0022496C"/>
    <w:rsid w:val="00230367"/>
    <w:rsid w:val="00245C92"/>
    <w:rsid w:val="0025049A"/>
    <w:rsid w:val="0025684B"/>
    <w:rsid w:val="00265E85"/>
    <w:rsid w:val="0026663B"/>
    <w:rsid w:val="0029255D"/>
    <w:rsid w:val="0029644A"/>
    <w:rsid w:val="002B6037"/>
    <w:rsid w:val="002B7415"/>
    <w:rsid w:val="002C0DF6"/>
    <w:rsid w:val="002C2E5E"/>
    <w:rsid w:val="002D60BC"/>
    <w:rsid w:val="002D7B56"/>
    <w:rsid w:val="002E5235"/>
    <w:rsid w:val="002E6E8F"/>
    <w:rsid w:val="002F473C"/>
    <w:rsid w:val="002F4753"/>
    <w:rsid w:val="00300D52"/>
    <w:rsid w:val="00303EC6"/>
    <w:rsid w:val="003064A1"/>
    <w:rsid w:val="00310C2C"/>
    <w:rsid w:val="00323960"/>
    <w:rsid w:val="003417E4"/>
    <w:rsid w:val="00344624"/>
    <w:rsid w:val="0035136E"/>
    <w:rsid w:val="00351BD5"/>
    <w:rsid w:val="00353346"/>
    <w:rsid w:val="00355589"/>
    <w:rsid w:val="0036248F"/>
    <w:rsid w:val="00375B04"/>
    <w:rsid w:val="0037711F"/>
    <w:rsid w:val="00382732"/>
    <w:rsid w:val="003835EB"/>
    <w:rsid w:val="0039639E"/>
    <w:rsid w:val="003A0A96"/>
    <w:rsid w:val="003B4F4C"/>
    <w:rsid w:val="003C0493"/>
    <w:rsid w:val="003C7FC2"/>
    <w:rsid w:val="003D7E5F"/>
    <w:rsid w:val="003E008C"/>
    <w:rsid w:val="003F6C0D"/>
    <w:rsid w:val="00401BFC"/>
    <w:rsid w:val="004049AB"/>
    <w:rsid w:val="0040663B"/>
    <w:rsid w:val="0041218C"/>
    <w:rsid w:val="0041529C"/>
    <w:rsid w:val="004231F8"/>
    <w:rsid w:val="00424AF4"/>
    <w:rsid w:val="0043735E"/>
    <w:rsid w:val="004413F7"/>
    <w:rsid w:val="004422C8"/>
    <w:rsid w:val="0044313B"/>
    <w:rsid w:val="00445998"/>
    <w:rsid w:val="0044705F"/>
    <w:rsid w:val="00452F99"/>
    <w:rsid w:val="004801F5"/>
    <w:rsid w:val="004839D8"/>
    <w:rsid w:val="00485125"/>
    <w:rsid w:val="00486F0B"/>
    <w:rsid w:val="004B7310"/>
    <w:rsid w:val="004C38FF"/>
    <w:rsid w:val="004C696C"/>
    <w:rsid w:val="004D2A14"/>
    <w:rsid w:val="004D3EA9"/>
    <w:rsid w:val="004D52F9"/>
    <w:rsid w:val="004D70B3"/>
    <w:rsid w:val="004F44E0"/>
    <w:rsid w:val="00507003"/>
    <w:rsid w:val="00507576"/>
    <w:rsid w:val="005120A6"/>
    <w:rsid w:val="00527EF0"/>
    <w:rsid w:val="0054015B"/>
    <w:rsid w:val="005412A7"/>
    <w:rsid w:val="00543B7A"/>
    <w:rsid w:val="00551BD6"/>
    <w:rsid w:val="005547D3"/>
    <w:rsid w:val="00571662"/>
    <w:rsid w:val="00592785"/>
    <w:rsid w:val="005A47D3"/>
    <w:rsid w:val="005A4FF1"/>
    <w:rsid w:val="005A5422"/>
    <w:rsid w:val="005B3F64"/>
    <w:rsid w:val="005B424D"/>
    <w:rsid w:val="005C4479"/>
    <w:rsid w:val="005D448A"/>
    <w:rsid w:val="005D6DAD"/>
    <w:rsid w:val="005D7117"/>
    <w:rsid w:val="005E1FCC"/>
    <w:rsid w:val="005E2292"/>
    <w:rsid w:val="00603803"/>
    <w:rsid w:val="00603E08"/>
    <w:rsid w:val="006047A5"/>
    <w:rsid w:val="00611127"/>
    <w:rsid w:val="006122E4"/>
    <w:rsid w:val="0062050B"/>
    <w:rsid w:val="00621710"/>
    <w:rsid w:val="00623544"/>
    <w:rsid w:val="00623666"/>
    <w:rsid w:val="00631338"/>
    <w:rsid w:val="00633FBE"/>
    <w:rsid w:val="00650E7C"/>
    <w:rsid w:val="006516A5"/>
    <w:rsid w:val="00652C8A"/>
    <w:rsid w:val="00663655"/>
    <w:rsid w:val="0066513B"/>
    <w:rsid w:val="00666CB5"/>
    <w:rsid w:val="00667196"/>
    <w:rsid w:val="006746A8"/>
    <w:rsid w:val="0069765B"/>
    <w:rsid w:val="006A326B"/>
    <w:rsid w:val="006B627A"/>
    <w:rsid w:val="006C1062"/>
    <w:rsid w:val="006C4CFD"/>
    <w:rsid w:val="006D10A0"/>
    <w:rsid w:val="006D21FD"/>
    <w:rsid w:val="006D53E1"/>
    <w:rsid w:val="006E7748"/>
    <w:rsid w:val="00711E01"/>
    <w:rsid w:val="0071424A"/>
    <w:rsid w:val="00721226"/>
    <w:rsid w:val="00732265"/>
    <w:rsid w:val="00740335"/>
    <w:rsid w:val="007446EE"/>
    <w:rsid w:val="0074482F"/>
    <w:rsid w:val="00747DF6"/>
    <w:rsid w:val="00753A90"/>
    <w:rsid w:val="00757FDA"/>
    <w:rsid w:val="007612B5"/>
    <w:rsid w:val="00765CF7"/>
    <w:rsid w:val="00765D0A"/>
    <w:rsid w:val="00767607"/>
    <w:rsid w:val="00775490"/>
    <w:rsid w:val="007830BC"/>
    <w:rsid w:val="007931F8"/>
    <w:rsid w:val="00793D2C"/>
    <w:rsid w:val="007B206C"/>
    <w:rsid w:val="007B6383"/>
    <w:rsid w:val="007C00DD"/>
    <w:rsid w:val="007C0144"/>
    <w:rsid w:val="007D0A9D"/>
    <w:rsid w:val="007D39C7"/>
    <w:rsid w:val="007D6B04"/>
    <w:rsid w:val="007D76AF"/>
    <w:rsid w:val="007E2CF7"/>
    <w:rsid w:val="007F04F7"/>
    <w:rsid w:val="007F14CE"/>
    <w:rsid w:val="007F38CE"/>
    <w:rsid w:val="007F750A"/>
    <w:rsid w:val="007F7CD4"/>
    <w:rsid w:val="008115AF"/>
    <w:rsid w:val="008267C2"/>
    <w:rsid w:val="008334C3"/>
    <w:rsid w:val="00835B77"/>
    <w:rsid w:val="008452E8"/>
    <w:rsid w:val="00845698"/>
    <w:rsid w:val="008476C6"/>
    <w:rsid w:val="008528E4"/>
    <w:rsid w:val="00852A21"/>
    <w:rsid w:val="00854AF6"/>
    <w:rsid w:val="00860F6E"/>
    <w:rsid w:val="00863618"/>
    <w:rsid w:val="00872C9A"/>
    <w:rsid w:val="00881538"/>
    <w:rsid w:val="00883753"/>
    <w:rsid w:val="008A2BC7"/>
    <w:rsid w:val="008A41A8"/>
    <w:rsid w:val="008A4230"/>
    <w:rsid w:val="008B3C97"/>
    <w:rsid w:val="008C0638"/>
    <w:rsid w:val="008C5DE4"/>
    <w:rsid w:val="008E7B80"/>
    <w:rsid w:val="008F1992"/>
    <w:rsid w:val="008F5479"/>
    <w:rsid w:val="008F5EDD"/>
    <w:rsid w:val="00903056"/>
    <w:rsid w:val="00912B3C"/>
    <w:rsid w:val="00916F32"/>
    <w:rsid w:val="0092139D"/>
    <w:rsid w:val="009241F7"/>
    <w:rsid w:val="0092442C"/>
    <w:rsid w:val="00926842"/>
    <w:rsid w:val="00934809"/>
    <w:rsid w:val="00956EA4"/>
    <w:rsid w:val="009629D7"/>
    <w:rsid w:val="00965C74"/>
    <w:rsid w:val="00966210"/>
    <w:rsid w:val="0096683C"/>
    <w:rsid w:val="00985480"/>
    <w:rsid w:val="00985805"/>
    <w:rsid w:val="009B2D5C"/>
    <w:rsid w:val="009C0AD1"/>
    <w:rsid w:val="009C2516"/>
    <w:rsid w:val="009D0169"/>
    <w:rsid w:val="009E0629"/>
    <w:rsid w:val="009E0B84"/>
    <w:rsid w:val="009E7BCE"/>
    <w:rsid w:val="009F110B"/>
    <w:rsid w:val="00A00266"/>
    <w:rsid w:val="00A06C2D"/>
    <w:rsid w:val="00A13569"/>
    <w:rsid w:val="00A2747D"/>
    <w:rsid w:val="00A40449"/>
    <w:rsid w:val="00A411AA"/>
    <w:rsid w:val="00A4133B"/>
    <w:rsid w:val="00A423FF"/>
    <w:rsid w:val="00A472E7"/>
    <w:rsid w:val="00A54212"/>
    <w:rsid w:val="00A5501A"/>
    <w:rsid w:val="00A55273"/>
    <w:rsid w:val="00A710A4"/>
    <w:rsid w:val="00A73E27"/>
    <w:rsid w:val="00A75C75"/>
    <w:rsid w:val="00A931AE"/>
    <w:rsid w:val="00A974EF"/>
    <w:rsid w:val="00AA10AE"/>
    <w:rsid w:val="00AA434D"/>
    <w:rsid w:val="00AB2492"/>
    <w:rsid w:val="00AB68FF"/>
    <w:rsid w:val="00AC0152"/>
    <w:rsid w:val="00AC3A00"/>
    <w:rsid w:val="00AC6BCC"/>
    <w:rsid w:val="00AC71D8"/>
    <w:rsid w:val="00AD15CE"/>
    <w:rsid w:val="00AD3EBA"/>
    <w:rsid w:val="00AD57D5"/>
    <w:rsid w:val="00AD5CE0"/>
    <w:rsid w:val="00AE5D81"/>
    <w:rsid w:val="00AF2A44"/>
    <w:rsid w:val="00AF4C35"/>
    <w:rsid w:val="00B172D6"/>
    <w:rsid w:val="00B24384"/>
    <w:rsid w:val="00B2678A"/>
    <w:rsid w:val="00B32446"/>
    <w:rsid w:val="00B32775"/>
    <w:rsid w:val="00B33A9C"/>
    <w:rsid w:val="00B449D8"/>
    <w:rsid w:val="00B46AA7"/>
    <w:rsid w:val="00B500B8"/>
    <w:rsid w:val="00B50661"/>
    <w:rsid w:val="00B54906"/>
    <w:rsid w:val="00B55FE2"/>
    <w:rsid w:val="00B60B33"/>
    <w:rsid w:val="00B613E2"/>
    <w:rsid w:val="00B62458"/>
    <w:rsid w:val="00B64808"/>
    <w:rsid w:val="00B7004E"/>
    <w:rsid w:val="00B70E15"/>
    <w:rsid w:val="00B760A1"/>
    <w:rsid w:val="00B8529F"/>
    <w:rsid w:val="00B964CE"/>
    <w:rsid w:val="00B9707D"/>
    <w:rsid w:val="00BA0FD2"/>
    <w:rsid w:val="00BA22B9"/>
    <w:rsid w:val="00BA6634"/>
    <w:rsid w:val="00BB1203"/>
    <w:rsid w:val="00BB6A9A"/>
    <w:rsid w:val="00BC1C1F"/>
    <w:rsid w:val="00BC530A"/>
    <w:rsid w:val="00BC6652"/>
    <w:rsid w:val="00BD1620"/>
    <w:rsid w:val="00BD349C"/>
    <w:rsid w:val="00BE062E"/>
    <w:rsid w:val="00BF0DB7"/>
    <w:rsid w:val="00BF7055"/>
    <w:rsid w:val="00C063BB"/>
    <w:rsid w:val="00C06AB2"/>
    <w:rsid w:val="00C07FE1"/>
    <w:rsid w:val="00C116FE"/>
    <w:rsid w:val="00C11EDE"/>
    <w:rsid w:val="00C16E55"/>
    <w:rsid w:val="00C17692"/>
    <w:rsid w:val="00C23FC7"/>
    <w:rsid w:val="00C256FB"/>
    <w:rsid w:val="00C32DED"/>
    <w:rsid w:val="00C45207"/>
    <w:rsid w:val="00C607B4"/>
    <w:rsid w:val="00C61336"/>
    <w:rsid w:val="00C63DC7"/>
    <w:rsid w:val="00C651B0"/>
    <w:rsid w:val="00C656B9"/>
    <w:rsid w:val="00C90AF6"/>
    <w:rsid w:val="00C95649"/>
    <w:rsid w:val="00CB2F68"/>
    <w:rsid w:val="00CC54E1"/>
    <w:rsid w:val="00CD4C5F"/>
    <w:rsid w:val="00CE0FC3"/>
    <w:rsid w:val="00CE6623"/>
    <w:rsid w:val="00CE7313"/>
    <w:rsid w:val="00CF636F"/>
    <w:rsid w:val="00D00F85"/>
    <w:rsid w:val="00D0586E"/>
    <w:rsid w:val="00D13FF8"/>
    <w:rsid w:val="00D274B1"/>
    <w:rsid w:val="00D34D5F"/>
    <w:rsid w:val="00D505AD"/>
    <w:rsid w:val="00D63FE5"/>
    <w:rsid w:val="00D70DC2"/>
    <w:rsid w:val="00D82FDB"/>
    <w:rsid w:val="00D8755C"/>
    <w:rsid w:val="00D87E60"/>
    <w:rsid w:val="00D918C4"/>
    <w:rsid w:val="00D9416E"/>
    <w:rsid w:val="00D94277"/>
    <w:rsid w:val="00D9792C"/>
    <w:rsid w:val="00DB3744"/>
    <w:rsid w:val="00DC76A6"/>
    <w:rsid w:val="00DD06C5"/>
    <w:rsid w:val="00DD581D"/>
    <w:rsid w:val="00DE27A5"/>
    <w:rsid w:val="00DE6117"/>
    <w:rsid w:val="00DF52BC"/>
    <w:rsid w:val="00DF5ECA"/>
    <w:rsid w:val="00DF690C"/>
    <w:rsid w:val="00E007BC"/>
    <w:rsid w:val="00E01C17"/>
    <w:rsid w:val="00E05FCB"/>
    <w:rsid w:val="00E11647"/>
    <w:rsid w:val="00E15E65"/>
    <w:rsid w:val="00E16084"/>
    <w:rsid w:val="00E169ED"/>
    <w:rsid w:val="00E2509E"/>
    <w:rsid w:val="00E30D89"/>
    <w:rsid w:val="00E331D7"/>
    <w:rsid w:val="00E407E0"/>
    <w:rsid w:val="00E4082F"/>
    <w:rsid w:val="00E41FBB"/>
    <w:rsid w:val="00E508A3"/>
    <w:rsid w:val="00E50D70"/>
    <w:rsid w:val="00E52550"/>
    <w:rsid w:val="00E6611C"/>
    <w:rsid w:val="00E7746B"/>
    <w:rsid w:val="00E81557"/>
    <w:rsid w:val="00E84EF9"/>
    <w:rsid w:val="00E8749D"/>
    <w:rsid w:val="00E971D2"/>
    <w:rsid w:val="00EA107E"/>
    <w:rsid w:val="00EA26DF"/>
    <w:rsid w:val="00EA4E4D"/>
    <w:rsid w:val="00EB06F8"/>
    <w:rsid w:val="00EB791D"/>
    <w:rsid w:val="00EC437D"/>
    <w:rsid w:val="00EC7D89"/>
    <w:rsid w:val="00EE54E8"/>
    <w:rsid w:val="00EF48C4"/>
    <w:rsid w:val="00EF6DC1"/>
    <w:rsid w:val="00F04BAA"/>
    <w:rsid w:val="00F10215"/>
    <w:rsid w:val="00F22454"/>
    <w:rsid w:val="00F23560"/>
    <w:rsid w:val="00F338CA"/>
    <w:rsid w:val="00F3718B"/>
    <w:rsid w:val="00F46CF6"/>
    <w:rsid w:val="00F52F79"/>
    <w:rsid w:val="00F85CC3"/>
    <w:rsid w:val="00F930C9"/>
    <w:rsid w:val="00F94A20"/>
    <w:rsid w:val="00FA6D72"/>
    <w:rsid w:val="00FB3B26"/>
    <w:rsid w:val="00FB528E"/>
    <w:rsid w:val="00FC080E"/>
    <w:rsid w:val="00FD1E7D"/>
    <w:rsid w:val="00FD504D"/>
    <w:rsid w:val="00FE2C90"/>
    <w:rsid w:val="00FE5F54"/>
    <w:rsid w:val="00FE5F9D"/>
    <w:rsid w:val="00FE6CB0"/>
    <w:rsid w:val="00FF22BD"/>
    <w:rsid w:val="00FF59DD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05FFB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4A"/>
    <w:pPr>
      <w:spacing w:after="160"/>
    </w:pPr>
    <w:rPr>
      <w:rFonts w:ascii="Arial" w:hAnsi="Arial" w:cs="Arial"/>
      <w:bCs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082F"/>
    <w:pPr>
      <w:keepNext/>
      <w:spacing w:before="240" w:after="120"/>
      <w:outlineLvl w:val="0"/>
    </w:pPr>
    <w:rPr>
      <w:b/>
      <w:bCs w:val="0"/>
      <w:caps/>
      <w:color w:val="000080"/>
      <w:sz w:val="24"/>
      <w:szCs w:val="36"/>
    </w:rPr>
  </w:style>
  <w:style w:type="paragraph" w:styleId="Heading2">
    <w:name w:val="heading 2"/>
    <w:basedOn w:val="Normal"/>
    <w:next w:val="Normal"/>
    <w:qFormat/>
    <w:rsid w:val="00B760A1"/>
    <w:pPr>
      <w:keepNext/>
      <w:spacing w:before="240" w:after="120"/>
      <w:outlineLvl w:val="1"/>
    </w:pPr>
    <w:rPr>
      <w:rFonts w:ascii="Arial Bold" w:hAnsi="Arial Bold"/>
      <w:b/>
      <w:caps/>
      <w:color w:val="000080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11EDE"/>
    <w:pPr>
      <w:keepNext/>
      <w:keepLines/>
      <w:spacing w:before="240" w:after="120"/>
      <w:outlineLvl w:val="2"/>
    </w:pPr>
    <w:rPr>
      <w:rFonts w:ascii="Arial Bold" w:eastAsiaTheme="majorEastAsia" w:hAnsi="Arial Bold" w:cstheme="majorBidi"/>
      <w:b/>
      <w:bCs w:val="0"/>
      <w:cap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82F"/>
    <w:rPr>
      <w:rFonts w:ascii="Arial" w:hAnsi="Arial" w:cs="Arial"/>
      <w:b/>
      <w:caps/>
      <w:color w:val="000080"/>
      <w:sz w:val="24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C11EDE"/>
    <w:rPr>
      <w:rFonts w:ascii="Arial Bold" w:eastAsiaTheme="majorEastAsia" w:hAnsi="Arial Bold" w:cstheme="majorBidi"/>
      <w:b/>
      <w:caps/>
      <w:color w:val="000080"/>
      <w:szCs w:val="24"/>
      <w:lang w:eastAsia="en-US"/>
    </w:rPr>
  </w:style>
  <w:style w:type="character" w:styleId="Hyperlink">
    <w:name w:val="Hyperlink"/>
    <w:basedOn w:val="DefaultParagraphFont"/>
    <w:uiPriority w:val="99"/>
    <w:rsid w:val="00663655"/>
    <w:rPr>
      <w:color w:val="0000FF"/>
      <w:u w:val="single"/>
    </w:rPr>
  </w:style>
  <w:style w:type="paragraph" w:styleId="Header">
    <w:name w:val="header"/>
    <w:basedOn w:val="Normal"/>
    <w:rsid w:val="000B0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0266"/>
    <w:pPr>
      <w:tabs>
        <w:tab w:val="left" w:pos="3515"/>
        <w:tab w:val="left" w:pos="8789"/>
      </w:tabs>
      <w:spacing w:after="0"/>
    </w:pPr>
    <w:rPr>
      <w:color w:val="000000" w:themeColor="text1"/>
      <w:sz w:val="18"/>
    </w:rPr>
  </w:style>
  <w:style w:type="paragraph" w:customStyle="1" w:styleId="Tablenormal0">
    <w:name w:val="Table normal"/>
    <w:basedOn w:val="Normal"/>
    <w:rsid w:val="00CE6623"/>
    <w:pPr>
      <w:keepNext/>
      <w:keepLines/>
      <w:spacing w:before="60" w:after="60" w:line="240" w:lineRule="atLeast"/>
      <w:ind w:left="51" w:right="40"/>
    </w:pPr>
    <w:rPr>
      <w:snapToGrid w:val="0"/>
    </w:rPr>
  </w:style>
  <w:style w:type="paragraph" w:customStyle="1" w:styleId="Tablebullet">
    <w:name w:val="Table bullet"/>
    <w:basedOn w:val="Tablenormal0"/>
    <w:rsid w:val="00AC5C38"/>
    <w:pPr>
      <w:numPr>
        <w:numId w:val="12"/>
      </w:numPr>
    </w:pPr>
  </w:style>
  <w:style w:type="character" w:styleId="PageNumber">
    <w:name w:val="page number"/>
    <w:basedOn w:val="DefaultParagraphFont"/>
    <w:rsid w:val="009E7BCE"/>
    <w:rPr>
      <w:rFonts w:ascii="Arial" w:hAnsi="Arial"/>
      <w:color w:val="000000"/>
      <w:sz w:val="18"/>
    </w:rPr>
  </w:style>
  <w:style w:type="table" w:styleId="TableGrid">
    <w:name w:val="Table Grid"/>
    <w:basedOn w:val="TableNormal"/>
    <w:rsid w:val="009E7BCE"/>
    <w:pPr>
      <w:spacing w:after="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698"/>
    <w:pPr>
      <w:ind w:left="720"/>
      <w:contextualSpacing/>
    </w:pPr>
  </w:style>
  <w:style w:type="character" w:styleId="CommentReference">
    <w:name w:val="annotation reference"/>
    <w:basedOn w:val="DefaultParagraphFont"/>
    <w:rsid w:val="003A0A96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4BA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CommentText">
    <w:name w:val="annotation text"/>
    <w:basedOn w:val="Normal"/>
    <w:link w:val="CommentTextChar"/>
    <w:rsid w:val="003A0A96"/>
    <w:pPr>
      <w:spacing w:after="120"/>
    </w:pPr>
    <w:rPr>
      <w:rFonts w:cs="Times New Roman"/>
      <w:bCs w:val="0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rsid w:val="003A0A96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C2E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E5E"/>
    <w:rPr>
      <w:rFonts w:ascii="Tahoma" w:hAnsi="Tahoma" w:cs="Tahoma"/>
      <w:bCs/>
      <w:color w:val="000000"/>
      <w:sz w:val="16"/>
      <w:szCs w:val="16"/>
      <w:lang w:eastAsia="en-US"/>
    </w:rPr>
  </w:style>
  <w:style w:type="character" w:customStyle="1" w:styleId="FooterChar">
    <w:name w:val="Footer Char"/>
    <w:link w:val="Footer"/>
    <w:rsid w:val="00A00266"/>
    <w:rPr>
      <w:rFonts w:ascii="Arial" w:hAnsi="Arial" w:cs="Arial"/>
      <w:bCs/>
      <w:color w:val="000000" w:themeColor="text1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4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24A"/>
    <w:pPr>
      <w:spacing w:after="160"/>
    </w:pPr>
    <w:rPr>
      <w:rFonts w:ascii="Arial" w:hAnsi="Arial" w:cs="Arial"/>
      <w:bCs/>
      <w:color w:val="00000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4082F"/>
    <w:pPr>
      <w:keepNext/>
      <w:spacing w:before="240" w:after="120"/>
      <w:outlineLvl w:val="0"/>
    </w:pPr>
    <w:rPr>
      <w:b/>
      <w:bCs w:val="0"/>
      <w:caps/>
      <w:color w:val="000080"/>
      <w:sz w:val="24"/>
      <w:szCs w:val="36"/>
    </w:rPr>
  </w:style>
  <w:style w:type="paragraph" w:styleId="Heading2">
    <w:name w:val="heading 2"/>
    <w:basedOn w:val="Normal"/>
    <w:next w:val="Normal"/>
    <w:qFormat/>
    <w:rsid w:val="00B760A1"/>
    <w:pPr>
      <w:keepNext/>
      <w:spacing w:before="240" w:after="120"/>
      <w:outlineLvl w:val="1"/>
    </w:pPr>
    <w:rPr>
      <w:rFonts w:ascii="Arial Bold" w:hAnsi="Arial Bold"/>
      <w:b/>
      <w:caps/>
      <w:color w:val="000080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11EDE"/>
    <w:pPr>
      <w:keepNext/>
      <w:keepLines/>
      <w:spacing w:before="240" w:after="120"/>
      <w:outlineLvl w:val="2"/>
    </w:pPr>
    <w:rPr>
      <w:rFonts w:ascii="Arial Bold" w:eastAsiaTheme="majorEastAsia" w:hAnsi="Arial Bold" w:cstheme="majorBidi"/>
      <w:b/>
      <w:bCs w:val="0"/>
      <w:cap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082F"/>
    <w:rPr>
      <w:rFonts w:ascii="Arial" w:hAnsi="Arial" w:cs="Arial"/>
      <w:b/>
      <w:caps/>
      <w:color w:val="000080"/>
      <w:sz w:val="24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rsid w:val="00C11EDE"/>
    <w:rPr>
      <w:rFonts w:ascii="Arial Bold" w:eastAsiaTheme="majorEastAsia" w:hAnsi="Arial Bold" w:cstheme="majorBidi"/>
      <w:b/>
      <w:caps/>
      <w:color w:val="000080"/>
      <w:szCs w:val="24"/>
      <w:lang w:eastAsia="en-US"/>
    </w:rPr>
  </w:style>
  <w:style w:type="character" w:styleId="Hyperlink">
    <w:name w:val="Hyperlink"/>
    <w:basedOn w:val="DefaultParagraphFont"/>
    <w:uiPriority w:val="99"/>
    <w:rsid w:val="00663655"/>
    <w:rPr>
      <w:color w:val="0000FF"/>
      <w:u w:val="single"/>
    </w:rPr>
  </w:style>
  <w:style w:type="paragraph" w:styleId="Header">
    <w:name w:val="header"/>
    <w:basedOn w:val="Normal"/>
    <w:rsid w:val="000B0C8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00266"/>
    <w:pPr>
      <w:tabs>
        <w:tab w:val="left" w:pos="3515"/>
        <w:tab w:val="left" w:pos="8789"/>
      </w:tabs>
      <w:spacing w:after="0"/>
    </w:pPr>
    <w:rPr>
      <w:color w:val="000000" w:themeColor="text1"/>
      <w:sz w:val="18"/>
    </w:rPr>
  </w:style>
  <w:style w:type="paragraph" w:customStyle="1" w:styleId="Tablenormal0">
    <w:name w:val="Table normal"/>
    <w:basedOn w:val="Normal"/>
    <w:rsid w:val="00CE6623"/>
    <w:pPr>
      <w:keepNext/>
      <w:keepLines/>
      <w:spacing w:before="60" w:after="60" w:line="240" w:lineRule="atLeast"/>
      <w:ind w:left="51" w:right="40"/>
    </w:pPr>
    <w:rPr>
      <w:snapToGrid w:val="0"/>
    </w:rPr>
  </w:style>
  <w:style w:type="paragraph" w:customStyle="1" w:styleId="Tablebullet">
    <w:name w:val="Table bullet"/>
    <w:basedOn w:val="Tablenormal0"/>
    <w:rsid w:val="00AC5C38"/>
    <w:pPr>
      <w:numPr>
        <w:numId w:val="12"/>
      </w:numPr>
    </w:pPr>
  </w:style>
  <w:style w:type="character" w:styleId="PageNumber">
    <w:name w:val="page number"/>
    <w:basedOn w:val="DefaultParagraphFont"/>
    <w:rsid w:val="009E7BCE"/>
    <w:rPr>
      <w:rFonts w:ascii="Arial" w:hAnsi="Arial"/>
      <w:color w:val="000000"/>
      <w:sz w:val="18"/>
    </w:rPr>
  </w:style>
  <w:style w:type="table" w:styleId="TableGrid">
    <w:name w:val="Table Grid"/>
    <w:basedOn w:val="TableNormal"/>
    <w:rsid w:val="009E7BCE"/>
    <w:pPr>
      <w:spacing w:after="16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5698"/>
    <w:pPr>
      <w:ind w:left="720"/>
      <w:contextualSpacing/>
    </w:pPr>
  </w:style>
  <w:style w:type="character" w:styleId="CommentReference">
    <w:name w:val="annotation reference"/>
    <w:basedOn w:val="DefaultParagraphFont"/>
    <w:rsid w:val="003A0A96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04BA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  <w:lang w:val="en-US" w:eastAsia="ja-JP"/>
    </w:rPr>
  </w:style>
  <w:style w:type="paragraph" w:styleId="CommentText">
    <w:name w:val="annotation text"/>
    <w:basedOn w:val="Normal"/>
    <w:link w:val="CommentTextChar"/>
    <w:rsid w:val="003A0A96"/>
    <w:pPr>
      <w:spacing w:after="120"/>
    </w:pPr>
    <w:rPr>
      <w:rFonts w:cs="Times New Roman"/>
      <w:bCs w:val="0"/>
      <w:color w:val="auto"/>
      <w:szCs w:val="20"/>
    </w:rPr>
  </w:style>
  <w:style w:type="character" w:customStyle="1" w:styleId="CommentTextChar">
    <w:name w:val="Comment Text Char"/>
    <w:basedOn w:val="DefaultParagraphFont"/>
    <w:link w:val="CommentText"/>
    <w:rsid w:val="003A0A96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C2E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2E5E"/>
    <w:rPr>
      <w:rFonts w:ascii="Tahoma" w:hAnsi="Tahoma" w:cs="Tahoma"/>
      <w:bCs/>
      <w:color w:val="000000"/>
      <w:sz w:val="16"/>
      <w:szCs w:val="16"/>
      <w:lang w:eastAsia="en-US"/>
    </w:rPr>
  </w:style>
  <w:style w:type="character" w:customStyle="1" w:styleId="FooterChar">
    <w:name w:val="Footer Char"/>
    <w:link w:val="Footer"/>
    <w:rsid w:val="00A00266"/>
    <w:rPr>
      <w:rFonts w:ascii="Arial" w:hAnsi="Arial" w:cs="Arial"/>
      <w:bCs/>
      <w:color w:val="000000" w:themeColor="text1"/>
      <w:sz w:val="18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62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LibrariesRef xmlns="e7c7f6fc-0c1f-4db4-bdfb-1d5a5c7fbe5d">41</QmsLibrariesRef>
    <QmsSectionsRef xmlns="e7c7f6fc-0c1f-4db4-bdfb-1d5a5c7fbe5d">184</QmsSectionsRef>
    <QmsBusinessAreasRef xmlns="e7c7f6fc-0c1f-4db4-bdfb-1d5a5c7fbe5d">10</QmsBusinessAreasRef>
    <QmsDocumentPurpose xmlns="http://schemas.microsoft.com/sharepoint/v3/fields" xsi:nil="true"/>
    <QmsSubSectionsRef xmlns="e7c7f6fc-0c1f-4db4-bdfb-1d5a5c7fbe5d">365</QmsSubSectionsRef>
    <QmsVariationsRef xmlns="e7c7f6fc-0c1f-4db4-bdfb-1d5a5c7fbe5d" xsi:nil="true"/>
    <QmsApproverPositionsRef xmlns="e7c7f6fc-0c1f-4db4-bdfb-1d5a5c7fbe5d">20</QmsApproverPositionsRef>
    <QmsReviewFrequenciesRef xmlns="e7c7f6fc-0c1f-4db4-bdfb-1d5a5c7fbe5d">2</QmsReviewFrequenciesRef>
    <QmsRescinded xmlns="http://schemas.microsoft.com/sharepoint/v3">false</QmsRescinded>
    <QmsReviewDate xmlns="http://schemas.microsoft.com/sharepoint/v3/fields">2019-06-21T16:00:00+00:00</QmsReviewDate>
    <QmsLastApprovalStatus xmlns="http://schemas.microsoft.com/sharepoint/v3/fields" xsi:nil="true"/>
    <QmsLastReviewBy xmlns="http://schemas.microsoft.com/sharepoint/v3" xsi:nil="true"/>
    <QmsReviewerPositionsRef xmlns="e7c7f6fc-0c1f-4db4-bdfb-1d5a5c7fbe5d" xsi:nil="true"/>
    <QmsLastApproval xmlns="http://schemas.microsoft.com/sharepoint/v3/fields" xsi:nil="true"/>
    <QmsLastReviewComment xmlns="http://schemas.microsoft.com/sharepoint/v3/fields" xsi:nil="true"/>
    <QmsRiskRating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34869801477A44BA963EBC7CD35300A1002212A04463CCC14DA5AB134AEE88E8A9" ma:contentTypeVersion="6" ma:contentTypeDescription="Create a new document." ma:contentTypeScope="" ma:versionID="a2374c14174cadf27bf1797c4e72b708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00dfed528739b2c9863f2a4ecd3f6e4d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1" nillable="true" ma:displayName="Last Review By" ma:description="" ma:internalName="QmsLastReviewBy">
      <xsd:simpleType>
        <xsd:restriction base="dms:Text"/>
      </xsd:simpleType>
    </xsd:element>
    <xsd:element name="QmsLastReviewStatus" ma:index="22" nillable="true" ma:displayName="Last Review Status" ma:description="" ma:internalName="QmsLastReviewStatus">
      <xsd:simpleType>
        <xsd:restriction base="dms:Text"/>
      </xsd:simpleType>
    </xsd:element>
    <xsd:element name="QmsRescinded" ma:index="26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5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6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7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8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9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20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3" nillable="true" ma:displayName="Last Review Comment" ma:description="" ma:internalName="QmsLastReviewComment">
      <xsd:simpleType>
        <xsd:restriction base="dms:Note"/>
      </xsd:simpleType>
    </xsd:element>
    <xsd:element name="QmsLastApproval" ma:index="24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5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975F2-7993-4C9D-83CA-2BDA11DF54B3}">
  <ds:schemaRefs>
    <ds:schemaRef ds:uri="e7c7f6fc-0c1f-4db4-bdfb-1d5a5c7fbe5d"/>
    <ds:schemaRef ds:uri="http://purl.org/dc/elements/1.1/"/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sharepoint/v3/field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3871D3A-ADAA-452F-BDD6-FE902DC82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21A75B-4CA8-499E-B8B1-39F3C16C7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BC79F-8319-4E7B-98C7-91CF927A9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27243F5</Template>
  <TotalTime>1</TotalTime>
  <Pages>4</Pages>
  <Words>550</Words>
  <Characters>3334</Characters>
  <Application>Microsoft Office Word</Application>
  <DocSecurity>4</DocSecurity>
  <Lines>196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Template- Element</vt:lpstr>
    </vt:vector>
  </TitlesOfParts>
  <Company>DoCEP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Template- Element</dc:title>
  <dc:subject>MS - Audit - Template - GENERIC AUDIT TEMPLATE</dc:subject>
  <dc:creator>TseYin.CHANG</dc:creator>
  <cp:keywords>DocSrc=Internal&lt;!&gt;VersionNo=1&lt;!&gt;VersionBy=TseYin.CHANG&lt;!&gt;VersionDate=07 Mar 2013 12:12:31&lt;!&gt;Branch=Business Development&lt;!&gt;Division=&lt;!&gt;Section=Communications&lt;!&gt;LockedBy=TseYin.CHANG&lt;!&gt;LockedOn=30/07/2013 11:25:44&lt;!&gt;LockedBehalfof=TseYin.CHANG</cp:keywords>
  <dc:description>FileNo=A0200/201002&lt;!&gt;Site=Cannington&lt;!&gt;MDNo=&lt;!&gt;DocType=Web Document&lt;!&gt;DocSec=MS - Audit guidelines and templates&lt;!&gt;Owner=tseyin.chang&lt;!&gt;Filename=000981.tseyin.chang.docx&lt;!&gt;Project=&lt;!&gt;Group=Resources Safety&lt;!&gt;SecType=For Public Release</dc:description>
  <cp:lastModifiedBy>COLE, Alicia</cp:lastModifiedBy>
  <cp:revision>2</cp:revision>
  <cp:lastPrinted>2016-02-04T01:14:00Z</cp:lastPrinted>
  <dcterms:created xsi:type="dcterms:W3CDTF">2017-09-29T06:53:00Z</dcterms:created>
  <dcterms:modified xsi:type="dcterms:W3CDTF">2017-09-29T06:53:00Z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te">
    <vt:lpwstr>Cannington</vt:lpwstr>
  </property>
  <property fmtid="{D5CDD505-2E9C-101B-9397-08002B2CF9AE}" pid="3" name="SecType">
    <vt:lpwstr>For Public Release</vt:lpwstr>
  </property>
  <property fmtid="{D5CDD505-2E9C-101B-9397-08002B2CF9AE}" pid="4" name="ContentTypeId">
    <vt:lpwstr>0x01010034869801477A44BA963EBC7CD35300A1002212A04463CCC14DA5AB134AEE88E8A9</vt:lpwstr>
  </property>
  <property fmtid="{D5CDD505-2E9C-101B-9397-08002B2CF9AE}" pid="5" name="DataStore">
    <vt:lpwstr>Central</vt:lpwstr>
  </property>
</Properties>
</file>